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01" w:rsidRPr="00A20D01" w:rsidRDefault="00A20D01" w:rsidP="00A20D01">
      <w:pPr>
        <w:jc w:val="right"/>
        <w:rPr>
          <w:i/>
          <w:sz w:val="20"/>
          <w:szCs w:val="20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057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ed2018_654x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64A">
        <w:rPr>
          <w:b/>
        </w:rPr>
        <w:br/>
      </w:r>
    </w:p>
    <w:p w:rsidR="00A20D01" w:rsidRPr="00A20D01" w:rsidRDefault="00A20D01" w:rsidP="00A20D01">
      <w:pPr>
        <w:jc w:val="right"/>
        <w:rPr>
          <w:i/>
          <w:sz w:val="20"/>
          <w:szCs w:val="20"/>
        </w:rPr>
      </w:pPr>
      <w:r w:rsidRPr="00A20D01">
        <w:rPr>
          <w:i/>
          <w:sz w:val="20"/>
          <w:szCs w:val="20"/>
        </w:rPr>
        <w:t>Informacja prasowa, grudzień 2017</w:t>
      </w:r>
    </w:p>
    <w:p w:rsidR="00A20D01" w:rsidRPr="00A20D01" w:rsidRDefault="00A20D01" w:rsidP="0089464A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darkCyan"/>
        </w:rPr>
        <w:br/>
      </w:r>
      <w:r w:rsidRPr="00A20D01">
        <w:rPr>
          <w:b/>
          <w:color w:val="FFFFFF" w:themeColor="background1"/>
          <w:highlight w:val="darkCyan"/>
        </w:rPr>
        <w:t xml:space="preserve">Nowe rozporządzenia unijne </w:t>
      </w:r>
      <w:proofErr w:type="gramStart"/>
      <w:r w:rsidRPr="00A20D01">
        <w:rPr>
          <w:b/>
          <w:color w:val="FFFFFF" w:themeColor="background1"/>
          <w:highlight w:val="darkCyan"/>
        </w:rPr>
        <w:t>dotyczące wyrobów</w:t>
      </w:r>
      <w:proofErr w:type="gramEnd"/>
      <w:r w:rsidRPr="00A20D01">
        <w:rPr>
          <w:b/>
          <w:color w:val="FFFFFF" w:themeColor="background1"/>
          <w:highlight w:val="darkCyan"/>
        </w:rPr>
        <w:t xml:space="preserve"> medycznych oraz wyrobów medycznych do diagnostyki in vitro.</w:t>
      </w:r>
    </w:p>
    <w:p w:rsidR="00A20D01" w:rsidRDefault="00A20D01" w:rsidP="0089464A">
      <w:pPr>
        <w:rPr>
          <w:b/>
        </w:rPr>
      </w:pPr>
    </w:p>
    <w:p w:rsidR="0089464A" w:rsidRPr="00EF06B4" w:rsidRDefault="00172156" w:rsidP="00A20D01">
      <w:pPr>
        <w:jc w:val="both"/>
        <w:rPr>
          <w:b/>
        </w:rPr>
      </w:pPr>
      <w:r w:rsidRPr="00172156">
        <w:rPr>
          <w:b/>
        </w:rPr>
        <w:t xml:space="preserve">26 maja 2017 r. weszły w życie rozporządzenia unijne </w:t>
      </w:r>
      <w:proofErr w:type="gramStart"/>
      <w:r w:rsidRPr="00172156">
        <w:rPr>
          <w:b/>
        </w:rPr>
        <w:t>dotyczące wyrobów</w:t>
      </w:r>
      <w:proofErr w:type="gramEnd"/>
      <w:r w:rsidRPr="00172156">
        <w:rPr>
          <w:b/>
        </w:rPr>
        <w:t xml:space="preserve"> medycznych oraz wyrobów medycznych do diagnostyki in vitro.</w:t>
      </w:r>
    </w:p>
    <w:p w:rsidR="00D9242C" w:rsidRPr="0089464A" w:rsidRDefault="00D9242C" w:rsidP="00613AE7">
      <w:pPr>
        <w:jc w:val="both"/>
      </w:pPr>
      <w:r w:rsidRPr="0089464A">
        <w:t xml:space="preserve">Rozporządzenia wprowadzają szereg ulepszeń w zakresie wyrobów medycznych i wyrobów </w:t>
      </w:r>
      <w:r w:rsidR="006A7D08">
        <w:br/>
      </w:r>
      <w:r w:rsidRPr="0089464A">
        <w:t>do diagnostyki in vitro. Zaostrzone zostaną także wymogi dotyczące badań klinicznych oraz kontroli podmiotów zatwierdzających wprowadzanie do obrotu.</w:t>
      </w:r>
    </w:p>
    <w:p w:rsidR="00D9242C" w:rsidRDefault="00C12247" w:rsidP="00613AE7">
      <w:pPr>
        <w:jc w:val="both"/>
      </w:pPr>
      <w:r w:rsidRPr="0089464A">
        <w:t xml:space="preserve">Obowiązujące dotychczas ramy regulacyjne pochodzą z lat 90. </w:t>
      </w:r>
      <w:proofErr w:type="gramStart"/>
      <w:r w:rsidRPr="0089464A">
        <w:t>ubiegłego</w:t>
      </w:r>
      <w:proofErr w:type="gramEnd"/>
      <w:r w:rsidRPr="0089464A">
        <w:t xml:space="preserve"> wieku i obejmują trzy dyrektywy, których brzmienie i interpretacja w stosowaniu przepisów stwarzały ni</w:t>
      </w:r>
      <w:r w:rsidR="00615467">
        <w:t xml:space="preserve">e lada problemy, </w:t>
      </w:r>
      <w:r w:rsidR="006A7D08">
        <w:br/>
      </w:r>
      <w:r w:rsidR="00615467">
        <w:t xml:space="preserve">z </w:t>
      </w:r>
      <w:r w:rsidRPr="0089464A">
        <w:t xml:space="preserve">kolei postęp technologiczny w zakresie wyrobów medycznych wskazywały już na potrzebę zmiany. </w:t>
      </w:r>
    </w:p>
    <w:p w:rsidR="00613AE7" w:rsidRDefault="00172156" w:rsidP="00613AE7">
      <w:pPr>
        <w:jc w:val="both"/>
      </w:pPr>
      <w:r>
        <w:t>Wejście w życie rozporządzenia</w:t>
      </w:r>
      <w:r w:rsidR="00613AE7">
        <w:t xml:space="preserve"> rozpocz</w:t>
      </w:r>
      <w:r>
        <w:t>ęło</w:t>
      </w:r>
      <w:r w:rsidR="00613AE7">
        <w:t xml:space="preserve"> okresy przejśc</w:t>
      </w:r>
      <w:r>
        <w:t xml:space="preserve">iowe przewidziane w przepisach. </w:t>
      </w:r>
      <w:r w:rsidR="00613AE7">
        <w:t>Okresy przejściowe wynoszą trzy lata dla rozporządzenia o wyrobach medycznych ( 26 maja 2020 r.) i pięć lat dla wyrobów medycznych do diagnosty</w:t>
      </w:r>
      <w:r>
        <w:t>ki in vitro ( 26 maja 2022 r.).</w:t>
      </w:r>
    </w:p>
    <w:p w:rsidR="006A7D08" w:rsidRDefault="006A7D08" w:rsidP="00EF06B4">
      <w:r>
        <w:t>Podczas targów SALMED, dzięki współpracy z</w:t>
      </w:r>
      <w:r w:rsidRPr="006A7D08">
        <w:t xml:space="preserve"> Polski</w:t>
      </w:r>
      <w:r>
        <w:t>m</w:t>
      </w:r>
      <w:r w:rsidRPr="006A7D08">
        <w:t xml:space="preserve"> Centrum Badań i Certyfikacji S.A.</w:t>
      </w:r>
      <w:r>
        <w:t xml:space="preserve"> </w:t>
      </w:r>
      <w:proofErr w:type="gramStart"/>
      <w:r>
        <w:t>odbędzie</w:t>
      </w:r>
      <w:proofErr w:type="gramEnd"/>
      <w:r>
        <w:t xml:space="preserve"> się konferencja, podczas której specjaliści znający temat przedstawią podstawowe zagadnienia i rozwieją wszelkie wątpliwości wynikające z zapisów rozporządzenia.</w:t>
      </w:r>
    </w:p>
    <w:p w:rsidR="00417B89" w:rsidRPr="004E492D" w:rsidRDefault="00417B89" w:rsidP="00A20D01">
      <w:r w:rsidRPr="009B1299">
        <w:rPr>
          <w:b/>
        </w:rPr>
        <w:t>Termin:</w:t>
      </w:r>
      <w:r>
        <w:t xml:space="preserve"> 16.03.2018</w:t>
      </w:r>
      <w:r>
        <w:br/>
      </w:r>
      <w:r w:rsidRPr="009B1299">
        <w:rPr>
          <w:b/>
        </w:rPr>
        <w:t>Godziny:</w:t>
      </w:r>
      <w:r>
        <w:t xml:space="preserve"> 12.30 – 14.30</w:t>
      </w:r>
      <w:r>
        <w:br/>
      </w:r>
      <w:r w:rsidRPr="009B1299">
        <w:rPr>
          <w:b/>
        </w:rPr>
        <w:t>Miejsce:</w:t>
      </w:r>
      <w:r w:rsidR="004E492D">
        <w:rPr>
          <w:b/>
        </w:rPr>
        <w:t xml:space="preserve"> </w:t>
      </w:r>
      <w:r w:rsidR="004E492D" w:rsidRPr="004E492D">
        <w:t>Antresola, Pawilon 7</w:t>
      </w:r>
    </w:p>
    <w:p w:rsidR="006A7D08" w:rsidRDefault="006A7D08" w:rsidP="006A7D08">
      <w:r>
        <w:t>K</w:t>
      </w:r>
      <w:r w:rsidRPr="002902AD">
        <w:t>onferencj</w:t>
      </w:r>
      <w:r>
        <w:t xml:space="preserve">a adresowana jest </w:t>
      </w:r>
      <w:proofErr w:type="gramStart"/>
      <w:r>
        <w:t xml:space="preserve">do: </w:t>
      </w:r>
      <w:r w:rsidRPr="002902AD">
        <w:t xml:space="preserve"> uczestni</w:t>
      </w:r>
      <w:r>
        <w:t>ków</w:t>
      </w:r>
      <w:proofErr w:type="gramEnd"/>
      <w:r w:rsidRPr="002902AD">
        <w:t xml:space="preserve"> targów, wytwórc</w:t>
      </w:r>
      <w:r>
        <w:t>ów</w:t>
      </w:r>
      <w:r w:rsidRPr="002902AD">
        <w:t>, dystrybutor</w:t>
      </w:r>
      <w:r>
        <w:t>ów</w:t>
      </w:r>
      <w:r w:rsidRPr="002902AD">
        <w:t>, importer</w:t>
      </w:r>
      <w:r>
        <w:t>ów</w:t>
      </w:r>
      <w:r w:rsidRPr="002902AD">
        <w:t>, autoryzowan</w:t>
      </w:r>
      <w:r>
        <w:t xml:space="preserve">ych </w:t>
      </w:r>
      <w:r w:rsidRPr="002902AD">
        <w:t>przedstawiciel</w:t>
      </w:r>
      <w:r>
        <w:t>i</w:t>
      </w:r>
      <w:r w:rsidRPr="002902AD">
        <w:t xml:space="preserve"> i użytkown</w:t>
      </w:r>
      <w:r>
        <w:t>ików</w:t>
      </w:r>
      <w:r w:rsidRPr="002902AD">
        <w:t xml:space="preserve"> wyrobów medycznych</w:t>
      </w:r>
      <w:r>
        <w:t>.</w:t>
      </w:r>
    </w:p>
    <w:p w:rsidR="006A7D08" w:rsidRPr="009B1299" w:rsidRDefault="006A7D08" w:rsidP="004E492D">
      <w:pPr>
        <w:jc w:val="center"/>
        <w:rPr>
          <w:b/>
        </w:rPr>
      </w:pPr>
      <w:r w:rsidRPr="009B1299">
        <w:rPr>
          <w:b/>
        </w:rPr>
        <w:t>Zapraszamy!</w:t>
      </w:r>
      <w:r w:rsidRPr="009B1299">
        <w:rPr>
          <w:b/>
        </w:rPr>
        <w:br/>
        <w:t xml:space="preserve">SALMED, 15-17.03.2018 </w:t>
      </w:r>
      <w:proofErr w:type="gramStart"/>
      <w:r w:rsidRPr="009B1299">
        <w:rPr>
          <w:b/>
        </w:rPr>
        <w:t>r</w:t>
      </w:r>
      <w:proofErr w:type="gramEnd"/>
      <w:r w:rsidRPr="009B1299">
        <w:rPr>
          <w:b/>
        </w:rPr>
        <w:t>.</w:t>
      </w:r>
    </w:p>
    <w:p w:rsidR="00EF06B4" w:rsidRPr="00EF06B4" w:rsidRDefault="00EF06B4" w:rsidP="00EF06B4">
      <w:pPr>
        <w:rPr>
          <w:b/>
        </w:rPr>
      </w:pPr>
      <w:r w:rsidRPr="00EF06B4">
        <w:rPr>
          <w:b/>
        </w:rPr>
        <w:t xml:space="preserve">Temat: Nowe rozporządzenia unijne </w:t>
      </w:r>
      <w:proofErr w:type="gramStart"/>
      <w:r w:rsidRPr="00EF06B4">
        <w:rPr>
          <w:b/>
        </w:rPr>
        <w:t>dotyczące wyrobów</w:t>
      </w:r>
      <w:proofErr w:type="gramEnd"/>
      <w:r w:rsidRPr="00EF06B4">
        <w:rPr>
          <w:b/>
        </w:rPr>
        <w:t xml:space="preserve"> medycznych oraz wyrobów medycznych do diagnostyki in vitro.</w:t>
      </w:r>
    </w:p>
    <w:p w:rsidR="00EF06B4" w:rsidRPr="00EF06B4" w:rsidRDefault="00EF06B4" w:rsidP="00EF06B4">
      <w:pPr>
        <w:rPr>
          <w:b/>
        </w:rPr>
      </w:pPr>
      <w:r w:rsidRPr="00EF06B4">
        <w:rPr>
          <w:b/>
        </w:rPr>
        <w:t>Organizator: Polskie Centrum Badań i Certyfikacji S.A.</w:t>
      </w:r>
    </w:p>
    <w:p w:rsidR="00EF06B4" w:rsidRPr="00EF06B4" w:rsidRDefault="00EF06B4" w:rsidP="00EF06B4">
      <w:pPr>
        <w:rPr>
          <w:b/>
        </w:rPr>
      </w:pPr>
      <w:r w:rsidRPr="00EF06B4">
        <w:rPr>
          <w:b/>
        </w:rPr>
        <w:t xml:space="preserve">Prelegenci: </w:t>
      </w:r>
    </w:p>
    <w:p w:rsidR="00EF06B4" w:rsidRPr="002902AD" w:rsidRDefault="001F2CA7" w:rsidP="00EF06B4">
      <w:r>
        <w:lastRenderedPageBreak/>
        <w:t xml:space="preserve">1. </w:t>
      </w:r>
      <w:r w:rsidR="00EF06B4" w:rsidRPr="002902AD">
        <w:t>Adam Sobantka – Dyrektor Zakładu ds. C</w:t>
      </w:r>
      <w:r>
        <w:t xml:space="preserve">ertyfikacji Wyrobów Medycznych </w:t>
      </w:r>
      <w:r>
        <w:br/>
        <w:t xml:space="preserve">2. </w:t>
      </w:r>
      <w:r w:rsidR="00EF06B4" w:rsidRPr="002902AD">
        <w:t>Monika Mroczkiewicz – Zastępca Dyrektora Zakładu ds. Certyfikacji Wyrobów Medycznych</w:t>
      </w:r>
    </w:p>
    <w:p w:rsidR="00EF06B4" w:rsidRPr="002902AD" w:rsidRDefault="00EF06B4" w:rsidP="00EF06B4">
      <w:r w:rsidRPr="002902AD">
        <w:t>Adresaci konferencji: uczestnicy targów, wytwórcy, dystrybutorzy, importerzy, autoryzowani przedstawiciele i użytkownicy wyrobów medycznych</w:t>
      </w:r>
    </w:p>
    <w:p w:rsidR="00EF06B4" w:rsidRPr="00EF06B4" w:rsidRDefault="00EF06B4" w:rsidP="00EF06B4">
      <w:pPr>
        <w:rPr>
          <w:b/>
        </w:rPr>
      </w:pPr>
      <w:r w:rsidRPr="00EF06B4">
        <w:rPr>
          <w:b/>
        </w:rPr>
        <w:t xml:space="preserve">Tematyka: </w:t>
      </w:r>
    </w:p>
    <w:p w:rsidR="0089464A" w:rsidRPr="001F2CA7" w:rsidRDefault="001F2CA7" w:rsidP="00EF06B4">
      <w:r>
        <w:t xml:space="preserve">1. Definicje </w:t>
      </w:r>
      <w:r>
        <w:br/>
        <w:t xml:space="preserve">2. </w:t>
      </w:r>
      <w:r w:rsidR="00EF06B4" w:rsidRPr="002902AD">
        <w:t>Wprowadzanie do obrotu wyrobu medycznego/wyrobu med</w:t>
      </w:r>
      <w:r>
        <w:t>ycznego do diagnostyki in vitro</w:t>
      </w:r>
      <w:r>
        <w:br/>
        <w:t xml:space="preserve">3. </w:t>
      </w:r>
      <w:r w:rsidR="00EF06B4" w:rsidRPr="002902AD">
        <w:t>Obowiązki wytwórców, autoryzowanych przedstawicieli, importerów, dystrybutorów wyrobów medycznych/ wyrobów med</w:t>
      </w:r>
      <w:r>
        <w:t>ycznych do diagnostyki in vitro</w:t>
      </w:r>
      <w:r>
        <w:br/>
        <w:t xml:space="preserve">4. </w:t>
      </w:r>
      <w:r w:rsidR="00EF06B4" w:rsidRPr="002902AD">
        <w:t xml:space="preserve">Identyfikacja i </w:t>
      </w:r>
      <w:proofErr w:type="gramStart"/>
      <w:r w:rsidR="00EF06B4" w:rsidRPr="002902AD">
        <w:t>identyfikowalność wyrobów</w:t>
      </w:r>
      <w:proofErr w:type="gramEnd"/>
      <w:r w:rsidR="00EF06B4" w:rsidRPr="002902AD">
        <w:t>, re</w:t>
      </w:r>
      <w:r>
        <w:t xml:space="preserve">jestracja wyrobów, baza </w:t>
      </w:r>
      <w:proofErr w:type="spellStart"/>
      <w:r>
        <w:t>Eudamed</w:t>
      </w:r>
      <w:proofErr w:type="spellEnd"/>
      <w:r>
        <w:br/>
        <w:t xml:space="preserve">5. </w:t>
      </w:r>
      <w:r w:rsidR="00EF06B4" w:rsidRPr="002902AD">
        <w:t>System UDI (</w:t>
      </w:r>
      <w:proofErr w:type="spellStart"/>
      <w:r w:rsidR="00EF06B4" w:rsidRPr="002902AD">
        <w:t>Unique</w:t>
      </w:r>
      <w:proofErr w:type="spellEnd"/>
      <w:r w:rsidR="00EF06B4" w:rsidRPr="002902AD">
        <w:t xml:space="preserve"> Device </w:t>
      </w:r>
      <w:proofErr w:type="spellStart"/>
      <w:r w:rsidR="00EF06B4" w:rsidRPr="002902AD">
        <w:t>Identification</w:t>
      </w:r>
      <w:proofErr w:type="spellEnd"/>
      <w:r w:rsidR="00EF06B4" w:rsidRPr="002902AD">
        <w:t>)</w:t>
      </w:r>
      <w:r>
        <w:br/>
        <w:t xml:space="preserve">6. </w:t>
      </w:r>
      <w:r w:rsidR="00EF06B4" w:rsidRPr="002902AD">
        <w:t>Oznakowanie wyrobów medycznych, karta implantu, informacje przek</w:t>
      </w:r>
      <w:r>
        <w:t>azywane pacjentowi/użytkownikom</w:t>
      </w:r>
      <w:r>
        <w:br/>
        <w:t xml:space="preserve">7. </w:t>
      </w:r>
      <w:r w:rsidR="00EF06B4" w:rsidRPr="002902AD">
        <w:t xml:space="preserve">Regeneracja wyrobów </w:t>
      </w:r>
      <w:r>
        <w:t>medycznych jednokrotnego użycia</w:t>
      </w:r>
      <w:r>
        <w:br/>
        <w:t>8. Jednostki Notyfikowane</w:t>
      </w:r>
      <w:r>
        <w:br/>
        <w:t xml:space="preserve">9. </w:t>
      </w:r>
      <w:r w:rsidR="00EF06B4" w:rsidRPr="002902AD">
        <w:t xml:space="preserve">Klasyfikacja wyrobów </w:t>
      </w:r>
      <w:r>
        <w:t>medycznych, reguły klasyfikacji</w:t>
      </w:r>
      <w:r>
        <w:br/>
        <w:t xml:space="preserve">10. </w:t>
      </w:r>
      <w:r w:rsidR="00EF06B4" w:rsidRPr="002902AD">
        <w:t>Klasyfikacja wyrobów medycznych do diagnostyk</w:t>
      </w:r>
      <w:r>
        <w:t>i in vitro, reguły klasyfikacji</w:t>
      </w:r>
      <w:r>
        <w:br/>
        <w:t>11. Procedury oceny zgodności</w:t>
      </w:r>
      <w:r>
        <w:br/>
        <w:t xml:space="preserve">12. </w:t>
      </w:r>
      <w:r w:rsidR="00EF06B4" w:rsidRPr="002902AD">
        <w:t>Procedura konsultacji wyrobów wysokiego r</w:t>
      </w:r>
      <w:r>
        <w:t>yzyka– „mechanizm dopuszczenia”</w:t>
      </w:r>
      <w:r>
        <w:br/>
        <w:t xml:space="preserve">13. </w:t>
      </w:r>
      <w:r w:rsidR="00EF06B4" w:rsidRPr="002902AD">
        <w:t>Badania kliniczne, dow</w:t>
      </w:r>
      <w:r>
        <w:t>ody kliniczne - wyroby medyczne</w:t>
      </w:r>
      <w:r>
        <w:br/>
        <w:t xml:space="preserve">14. </w:t>
      </w:r>
      <w:r w:rsidR="00EF06B4" w:rsidRPr="002902AD">
        <w:t>Dowody kliniczne – ocena działania - wyroby m</w:t>
      </w:r>
      <w:r>
        <w:t>edyczne do diagnostyki in vitro</w:t>
      </w:r>
      <w:r>
        <w:br/>
        <w:t xml:space="preserve">15. Post-market </w:t>
      </w:r>
      <w:proofErr w:type="spellStart"/>
      <w:r>
        <w:t>surveillance</w:t>
      </w:r>
      <w:proofErr w:type="spellEnd"/>
      <w:r>
        <w:t xml:space="preserve"> (PMS)</w:t>
      </w:r>
      <w:r>
        <w:br/>
        <w:t xml:space="preserve">16. </w:t>
      </w:r>
      <w:r w:rsidR="00EF06B4" w:rsidRPr="0089464A">
        <w:t>Zasady współpracy pomiędzy krajami członkowskimi, MDCG (</w:t>
      </w:r>
      <w:proofErr w:type="spellStart"/>
      <w:r w:rsidR="00EF06B4" w:rsidRPr="0089464A">
        <w:t>Medical</w:t>
      </w:r>
      <w:proofErr w:type="spellEnd"/>
      <w:r w:rsidR="00EF06B4" w:rsidRPr="0089464A">
        <w:t xml:space="preserve"> Devices </w:t>
      </w:r>
      <w:proofErr w:type="spellStart"/>
      <w:r w:rsidR="00EF06B4" w:rsidRPr="0089464A">
        <w:t>Coordination</w:t>
      </w:r>
      <w:proofErr w:type="spellEnd"/>
      <w:r w:rsidR="00EF06B4" w:rsidRPr="0089464A">
        <w:t xml:space="preserve"> </w:t>
      </w:r>
      <w:proofErr w:type="spellStart"/>
      <w:r w:rsidR="00EF06B4" w:rsidRPr="0089464A">
        <w:t>Group</w:t>
      </w:r>
      <w:proofErr w:type="spellEnd"/>
      <w:r w:rsidR="00EF06B4" w:rsidRPr="0089464A">
        <w:t>), przepisy „specjalne”, u</w:t>
      </w:r>
      <w:r>
        <w:t>prawnienia Komisji Europejskiej</w:t>
      </w:r>
      <w:r>
        <w:br/>
        <w:t xml:space="preserve">17. </w:t>
      </w:r>
      <w:r w:rsidR="00EF06B4" w:rsidRPr="0089464A">
        <w:t xml:space="preserve">Wymagania dotyczące bezpieczeństwa i </w:t>
      </w:r>
      <w:proofErr w:type="gramStart"/>
      <w:r w:rsidR="00EF06B4" w:rsidRPr="0089464A">
        <w:t>skuteczności wyrobów</w:t>
      </w:r>
      <w:proofErr w:type="gramEnd"/>
      <w:r w:rsidR="00EF06B4" w:rsidRPr="0089464A">
        <w:t xml:space="preserve"> medycznych/ wyrobów med</w:t>
      </w:r>
      <w:r>
        <w:t>ycznych do diagnostyki in vitro</w:t>
      </w:r>
      <w:r>
        <w:br/>
        <w:t xml:space="preserve">18. </w:t>
      </w:r>
      <w:r w:rsidR="00EF06B4" w:rsidRPr="0089464A">
        <w:t>Dokumentacja techniczna wyrobu medycznego/ wyrobu medycznego do diagnostyki in vitro</w:t>
      </w:r>
    </w:p>
    <w:p w:rsidR="0089464A" w:rsidRDefault="0089464A" w:rsidP="0089464A">
      <w:r>
        <w:t xml:space="preserve">Tekst rozporządzenia do pobrania: </w:t>
      </w:r>
      <w:r>
        <w:br/>
      </w:r>
      <w:r w:rsidRPr="005305D3">
        <w:t>Dziennik Urzędowy Unii Europejskiej z treścią rozporządzeń.</w:t>
      </w:r>
    </w:p>
    <w:p w:rsidR="0089464A" w:rsidRDefault="00F76459" w:rsidP="0089464A">
      <w:pPr>
        <w:rPr>
          <w:b/>
        </w:rPr>
      </w:pPr>
      <w:hyperlink r:id="rId6" w:history="1">
        <w:r w:rsidR="0089464A" w:rsidRPr="005108C4">
          <w:rPr>
            <w:rStyle w:val="Hipercze"/>
            <w:b/>
          </w:rPr>
          <w:t>http://eur-lex.europa.eu/legal-content/PL/TXT/?uri=uriserv:OJ.L_.2017.117.01.0176.01.POL&amp;toc=OJ:L:2017:117:TOC</w:t>
        </w:r>
      </w:hyperlink>
    </w:p>
    <w:p w:rsidR="00F76459" w:rsidRPr="00F76459" w:rsidRDefault="00F76459" w:rsidP="00F764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76459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zapraszamy!</w:t>
      </w:r>
      <w:r w:rsidRPr="00F76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6459" w:rsidRPr="00F76459" w:rsidRDefault="00F76459" w:rsidP="00F764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76459" w:rsidRPr="00F76459" w:rsidRDefault="00F76459" w:rsidP="00F764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7645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F76459" w:rsidRPr="00F76459" w:rsidRDefault="00F76459" w:rsidP="00F76459">
      <w:pPr>
        <w:spacing w:after="0" w:line="240" w:lineRule="auto"/>
        <w:jc w:val="right"/>
        <w:rPr>
          <w:rFonts w:ascii="Calibri" w:eastAsia="Times New Roman" w:hAnsi="Calibri" w:cs="Times New Roman"/>
          <w:color w:val="FFFFFF"/>
          <w:sz w:val="24"/>
          <w:szCs w:val="24"/>
          <w:lang w:eastAsia="pl-PL"/>
        </w:rPr>
      </w:pP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Więcej informacji na </w:t>
      </w:r>
      <w:hyperlink r:id="rId7" w:history="1">
        <w:r w:rsidRPr="00F76459">
          <w:rPr>
            <w:rFonts w:ascii="Calibri" w:eastAsia="Times New Roman" w:hAnsi="Calibri" w:cs="Times New Roman"/>
            <w:color w:val="FFFFFF"/>
            <w:sz w:val="20"/>
            <w:szCs w:val="20"/>
            <w:highlight w:val="darkCyan"/>
            <w:lang w:eastAsia="pl-PL"/>
          </w:rPr>
          <w:t>www.salm</w:t>
        </w:r>
        <w:r w:rsidRPr="00F76459">
          <w:rPr>
            <w:rFonts w:ascii="Calibri" w:eastAsia="Times New Roman" w:hAnsi="Calibri" w:cs="Times New Roman"/>
            <w:color w:val="FFFFFF"/>
            <w:sz w:val="20"/>
            <w:szCs w:val="20"/>
            <w:highlight w:val="darkCyan"/>
            <w:lang w:eastAsia="pl-PL"/>
          </w:rPr>
          <w:t>e</w:t>
        </w:r>
        <w:r w:rsidRPr="00F76459">
          <w:rPr>
            <w:rFonts w:ascii="Calibri" w:eastAsia="Times New Roman" w:hAnsi="Calibri" w:cs="Times New Roman"/>
            <w:color w:val="FFFFFF"/>
            <w:sz w:val="20"/>
            <w:szCs w:val="20"/>
            <w:highlight w:val="darkCyan"/>
            <w:lang w:eastAsia="pl-PL"/>
          </w:rPr>
          <w:t>d.pl</w:t>
        </w:r>
      </w:hyperlink>
    </w:p>
    <w:p w:rsidR="00F76459" w:rsidRPr="00F76459" w:rsidRDefault="00F76459" w:rsidP="00F764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76459" w:rsidRPr="00F76459" w:rsidRDefault="00F76459" w:rsidP="00F764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76459" w:rsidRPr="00F76459" w:rsidRDefault="00F76459" w:rsidP="00F76459">
      <w:pPr>
        <w:shd w:val="clear" w:color="auto" w:fill="FFFFFF"/>
        <w:spacing w:before="100" w:beforeAutospacing="1" w:after="100" w:afterAutospacing="1" w:line="340" w:lineRule="atLeast"/>
        <w:jc w:val="right"/>
        <w:outlineLvl w:val="3"/>
        <w:rPr>
          <w:rFonts w:ascii="Arial" w:eastAsia="Times New Roman" w:hAnsi="Arial" w:cs="Arial"/>
          <w:b/>
          <w:bCs/>
          <w:color w:val="FFFFFF"/>
          <w:sz w:val="26"/>
          <w:szCs w:val="26"/>
          <w:lang w:eastAsia="pl-PL"/>
        </w:rPr>
      </w:pPr>
      <w:r w:rsidRPr="00F76459">
        <w:rPr>
          <w:rFonts w:ascii="Arial" w:eastAsia="Times New Roman" w:hAnsi="Arial" w:cs="Arial"/>
          <w:b/>
          <w:bCs/>
          <w:color w:val="FFFFFF"/>
          <w:sz w:val="26"/>
          <w:szCs w:val="26"/>
          <w:highlight w:val="darkCyan"/>
          <w:lang w:eastAsia="pl-PL"/>
        </w:rPr>
        <w:t>Kontakt dla mediów:</w:t>
      </w:r>
    </w:p>
    <w:p w:rsidR="00F76459" w:rsidRPr="00F76459" w:rsidRDefault="00F76459" w:rsidP="00F76459">
      <w:pPr>
        <w:shd w:val="clear" w:color="auto" w:fill="FFFFFF"/>
        <w:spacing w:before="100" w:beforeAutospacing="1" w:after="100" w:afterAutospacing="1" w:line="340" w:lineRule="atLeast"/>
        <w:jc w:val="right"/>
        <w:outlineLvl w:val="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Karolina Michalak</w:t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br/>
        <w:t>tel. +48 61 869 2260</w:t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br/>
        <w:t>e-mail</w:t>
      </w:r>
      <w:proofErr w:type="gramStart"/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t>: </w:t>
      </w:r>
      <w:proofErr w:type="spellStart"/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fldChar w:fldCharType="begin"/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instrText xml:space="preserve"> HYPERLINK "http://www.mtp.pl/all/pl/webmail/MRYB012632/www.salmed.pl.html" \t "_blank" </w:instrText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fldChar w:fldCharType="separate"/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t>karolina</w:t>
      </w:r>
      <w:proofErr w:type="gramEnd"/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proofErr w:type="gramStart"/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t>michalak</w:t>
      </w:r>
      <w:proofErr w:type="spellEnd"/>
      <w:proofErr w:type="gramEnd"/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1505865F" wp14:editId="10009ED1">
            <wp:extent cx="447675" cy="104775"/>
            <wp:effectExtent l="0" t="0" r="9525" b="9525"/>
            <wp:docPr id="3" name="Obraz 3" descr="at mt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mt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459">
        <w:rPr>
          <w:rFonts w:ascii="Calibri" w:eastAsia="Times New Roman" w:hAnsi="Calibri" w:cs="Times New Roman"/>
          <w:sz w:val="20"/>
          <w:szCs w:val="20"/>
          <w:lang w:eastAsia="pl-PL"/>
        </w:rPr>
        <w:fldChar w:fldCharType="end"/>
      </w:r>
    </w:p>
    <w:p w:rsidR="00275C9E" w:rsidRPr="005305D3" w:rsidRDefault="00275C9E" w:rsidP="00EF06B4">
      <w:pPr>
        <w:rPr>
          <w:b/>
        </w:rPr>
      </w:pPr>
      <w:bookmarkStart w:id="0" w:name="_GoBack"/>
      <w:bookmarkEnd w:id="0"/>
    </w:p>
    <w:sectPr w:rsidR="00275C9E" w:rsidRPr="0053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3"/>
    <w:rsid w:val="00172156"/>
    <w:rsid w:val="001F2CA7"/>
    <w:rsid w:val="00275C9E"/>
    <w:rsid w:val="002902AD"/>
    <w:rsid w:val="00417B89"/>
    <w:rsid w:val="004E492D"/>
    <w:rsid w:val="005305D3"/>
    <w:rsid w:val="005D11FC"/>
    <w:rsid w:val="00613AE7"/>
    <w:rsid w:val="00615467"/>
    <w:rsid w:val="006A7D08"/>
    <w:rsid w:val="0089464A"/>
    <w:rsid w:val="009B1299"/>
    <w:rsid w:val="00A20D01"/>
    <w:rsid w:val="00C12247"/>
    <w:rsid w:val="00D9242C"/>
    <w:rsid w:val="00EF06B4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6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5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5C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0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6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64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5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5C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0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64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lme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PL/TXT/?uri=uriserv:OJ.L_.2017.117.01.0176.01.POL&amp;toc=OJ:L:2017:117:TO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Bartold-Michalak</dc:creator>
  <cp:lastModifiedBy>Karolina Bartold-Michalak</cp:lastModifiedBy>
  <cp:revision>18</cp:revision>
  <dcterms:created xsi:type="dcterms:W3CDTF">2017-11-27T11:15:00Z</dcterms:created>
  <dcterms:modified xsi:type="dcterms:W3CDTF">2018-03-04T10:14:00Z</dcterms:modified>
</cp:coreProperties>
</file>